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/>
      </w:tblPr>
      <w:tblGrid>
        <w:gridCol w:w="534"/>
        <w:gridCol w:w="567"/>
        <w:gridCol w:w="567"/>
        <w:gridCol w:w="567"/>
        <w:gridCol w:w="567"/>
      </w:tblGrid>
      <w:tr w:rsidR="0014514F" w:rsidTr="00E96B07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14514F" w:rsidRP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ОБЩЕСТВОЗНАНИЮ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14514F" w:rsidP="0014514F">
      <w:pPr>
        <w:pStyle w:val="a7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2023-2024 учебный год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8 КЛАСС</w:t>
      </w:r>
    </w:p>
    <w:p w:rsidR="0014514F" w:rsidRPr="00DB1B16" w:rsidRDefault="0014514F" w:rsidP="0014514F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16"/>
          <w:szCs w:val="24"/>
        </w:rPr>
      </w:pPr>
    </w:p>
    <w:p w:rsidR="0014514F" w:rsidRDefault="0014514F" w:rsidP="0014514F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14514F" w:rsidRPr="004617E0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запишите в отведённые поля, запись ведите чётко и разборчиво. </w:t>
      </w:r>
    </w:p>
    <w:p w:rsidR="0014514F" w:rsidRDefault="0014514F" w:rsidP="0014514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14514F" w:rsidRDefault="0014514F" w:rsidP="0014514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баллов – </w:t>
      </w:r>
      <w:bookmarkStart w:id="0" w:name="_GoBack"/>
      <w:bookmarkEnd w:id="0"/>
      <w:r w:rsidRPr="00042AFF">
        <w:rPr>
          <w:rFonts w:ascii="Times New Roman" w:hAnsi="Times New Roman" w:cs="Times New Roman"/>
          <w:b/>
          <w:sz w:val="24"/>
          <w:szCs w:val="24"/>
        </w:rPr>
        <w:t>75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</w:t>
      </w:r>
    </w:p>
    <w:p w:rsidR="003E6540" w:rsidRDefault="003E6540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6540" w:rsidRDefault="003E6540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1A62" w:rsidRPr="00EF1A62" w:rsidRDefault="00EF1A62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12"/>
          <w:szCs w:val="24"/>
        </w:rPr>
      </w:pP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14514F" w:rsidRDefault="0014514F"/>
    <w:tbl>
      <w:tblPr>
        <w:tblStyle w:val="a3"/>
        <w:tblW w:w="9923" w:type="dxa"/>
        <w:tblInd w:w="-459" w:type="dxa"/>
        <w:tblLayout w:type="fixed"/>
        <w:tblLook w:val="04A0"/>
      </w:tblPr>
      <w:tblGrid>
        <w:gridCol w:w="709"/>
        <w:gridCol w:w="3353"/>
        <w:gridCol w:w="4015"/>
        <w:gridCol w:w="1846"/>
      </w:tblGrid>
      <w:tr w:rsidR="003E6540" w:rsidRPr="003E6540" w:rsidTr="003E6540">
        <w:tc>
          <w:tcPr>
            <w:tcW w:w="8077" w:type="dxa"/>
            <w:gridSpan w:val="3"/>
          </w:tcPr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I. </w:t>
            </w:r>
            <w:r w:rsidRPr="003E6540">
              <w:rPr>
                <w:rFonts w:ascii="Times New Roman" w:hAnsi="Times New Roman" w:cs="Times New Roman"/>
                <w:b/>
              </w:rPr>
              <w:t>Да или нет</w:t>
            </w:r>
            <w:r w:rsidRPr="003E6540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(По 1 баллу за каждый правильный ответ)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</w:tcPr>
          <w:p w:rsidR="003E6540" w:rsidRPr="003E6540" w:rsidRDefault="003E6540" w:rsidP="003E654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Эгоизм может быть полезен для общества.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Одним из аргументов, обосновывающих протекционизм, является национальная безопасность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Монархическая форма правления и демократический политический режим несовместимы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Рост специализации, как </w:t>
            </w:r>
            <w:proofErr w:type="gramStart"/>
            <w:r w:rsidRPr="003E6540">
              <w:rPr>
                <w:rFonts w:ascii="Times New Roman" w:hAnsi="Times New Roman" w:cs="Times New Roman"/>
              </w:rPr>
              <w:t>правило</w:t>
            </w:r>
            <w:proofErr w:type="gramEnd"/>
            <w:r w:rsidRPr="003E6540">
              <w:rPr>
                <w:rFonts w:ascii="Times New Roman" w:hAnsi="Times New Roman" w:cs="Times New Roman"/>
              </w:rPr>
              <w:t xml:space="preserve"> ведет к росту производительности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Вступление в брак до достижения совершеннолетия предоставляет право участвовать в выборах. 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9923" w:type="dxa"/>
            <w:gridSpan w:val="4"/>
          </w:tcPr>
          <w:p w:rsidR="003E6540" w:rsidRPr="003E6540" w:rsidRDefault="00157F6F" w:rsidP="00EF1A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II. </w:t>
            </w:r>
            <w:r w:rsidR="00D46358" w:rsidRPr="003E6540">
              <w:rPr>
                <w:rFonts w:ascii="Times New Roman" w:hAnsi="Times New Roman" w:cs="Times New Roman"/>
                <w:b/>
              </w:rPr>
              <w:t>Что является лишним в каждом ряду? Лишнее выпишите и объясните, почему вы так решили</w:t>
            </w: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3" w:type="dxa"/>
          </w:tcPr>
          <w:p w:rsidR="00D46358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Россия, Бразилия, Аргентина, Индия, Китай, Южная Африка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1" w:type="dxa"/>
            <w:gridSpan w:val="2"/>
          </w:tcPr>
          <w:p w:rsidR="003C2DF0" w:rsidRPr="003E6540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3" w:type="dxa"/>
          </w:tcPr>
          <w:p w:rsidR="00D46358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Знаменосец, служитель, торговец, </w:t>
            </w:r>
            <w:proofErr w:type="spellStart"/>
            <w:r w:rsidRPr="003E6540">
              <w:rPr>
                <w:rFonts w:ascii="Times New Roman" w:hAnsi="Times New Roman" w:cs="Times New Roman"/>
              </w:rPr>
              <w:t>харизматик</w:t>
            </w:r>
            <w:proofErr w:type="spellEnd"/>
            <w:r w:rsidRPr="003E6540">
              <w:rPr>
                <w:rFonts w:ascii="Times New Roman" w:hAnsi="Times New Roman" w:cs="Times New Roman"/>
              </w:rPr>
              <w:t>, пожарный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1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3" w:type="dxa"/>
          </w:tcPr>
          <w:p w:rsidR="00D46358" w:rsidRPr="003E6540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Акция, облигация, индоссамент, коносамент, чек, вексель, закладная. </w:t>
            </w:r>
          </w:p>
        </w:tc>
        <w:tc>
          <w:tcPr>
            <w:tcW w:w="5861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6540" w:rsidRPr="003E6540" w:rsidTr="00C9360B">
        <w:tc>
          <w:tcPr>
            <w:tcW w:w="9923" w:type="dxa"/>
            <w:gridSpan w:val="4"/>
          </w:tcPr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III. </w:t>
            </w:r>
            <w:r w:rsidRPr="003E6540">
              <w:rPr>
                <w:rFonts w:ascii="Times New Roman" w:hAnsi="Times New Roman" w:cs="Times New Roman"/>
                <w:b/>
              </w:rPr>
              <w:t xml:space="preserve">Празднуем 30летие Конституции. Прочитайте текст о проекте Конституции и ответьте на вопросы. 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bCs/>
                <w:iCs/>
              </w:rPr>
              <w:t>Проект Конституции рабочей группы под руководством С. М. Шахрая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Первый раздел </w:t>
            </w:r>
            <w:r w:rsidRPr="003E6540">
              <w:rPr>
                <w:rFonts w:ascii="Times New Roman" w:hAnsi="Times New Roman" w:cs="Times New Roman"/>
                <w:b/>
              </w:rPr>
              <w:t>«Гражданин»</w:t>
            </w:r>
            <w:r w:rsidRPr="003E6540">
              <w:rPr>
                <w:rFonts w:ascii="Times New Roman" w:hAnsi="Times New Roman" w:cs="Times New Roman"/>
              </w:rPr>
              <w:t xml:space="preserve">, посвященный правам и свободам человека и гражданина, в основном традиционен для данного времени. Во втором разделе </w:t>
            </w:r>
            <w:r w:rsidRPr="003E6540">
              <w:rPr>
                <w:rFonts w:ascii="Times New Roman" w:hAnsi="Times New Roman" w:cs="Times New Roman"/>
                <w:b/>
              </w:rPr>
              <w:t>«Государство»</w:t>
            </w:r>
            <w:r w:rsidRPr="003E6540">
              <w:rPr>
                <w:rFonts w:ascii="Times New Roman" w:hAnsi="Times New Roman" w:cs="Times New Roman"/>
              </w:rPr>
              <w:t xml:space="preserve"> подчеркнута идея государственного единства России, которое обеспечивается целостностью территории, стабильностью конституционного строя и единством государственной власти. Государственное устройство страны основано на принципе федерализма. 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По проекту законодательную власть осуществляет парламент Российской Федерации. Он состоит из </w:t>
            </w:r>
            <w:r w:rsidRPr="003E6540">
              <w:rPr>
                <w:rFonts w:ascii="Times New Roman" w:hAnsi="Times New Roman" w:cs="Times New Roman"/>
                <w:b/>
              </w:rPr>
              <w:t>Федерального Собрания и Народного Собрания</w:t>
            </w:r>
            <w:r w:rsidRPr="003E6540">
              <w:rPr>
                <w:rFonts w:ascii="Times New Roman" w:hAnsi="Times New Roman" w:cs="Times New Roman"/>
              </w:rPr>
              <w:t xml:space="preserve">. Федеральное Собрание — верхняя палата, формируется субъектами РФ, каждый имеет свою делегацию, состоящую не более чем из двух человек, обладающих при голосовании одним решающим голосом. Срок полномочий делегатов Федерального Собрания — </w:t>
            </w:r>
            <w:r w:rsidRPr="003E6540">
              <w:rPr>
                <w:rFonts w:ascii="Times New Roman" w:hAnsi="Times New Roman" w:cs="Times New Roman"/>
                <w:b/>
              </w:rPr>
              <w:t>три года</w:t>
            </w:r>
            <w:r w:rsidRPr="003E6540">
              <w:rPr>
                <w:rFonts w:ascii="Times New Roman" w:hAnsi="Times New Roman" w:cs="Times New Roman"/>
              </w:rPr>
              <w:t xml:space="preserve">. Народное Собрание — нижняя палата, состоит из </w:t>
            </w:r>
            <w:r w:rsidRPr="003E6540">
              <w:rPr>
                <w:rFonts w:ascii="Times New Roman" w:hAnsi="Times New Roman" w:cs="Times New Roman"/>
                <w:b/>
              </w:rPr>
              <w:t>400 депутатов</w:t>
            </w:r>
            <w:r w:rsidRPr="003E6540">
              <w:rPr>
                <w:rFonts w:ascii="Times New Roman" w:hAnsi="Times New Roman" w:cs="Times New Roman"/>
              </w:rPr>
              <w:t xml:space="preserve">, избираемых </w:t>
            </w:r>
            <w:r w:rsidRPr="003E6540">
              <w:rPr>
                <w:rFonts w:ascii="Times New Roman" w:hAnsi="Times New Roman" w:cs="Times New Roman"/>
                <w:b/>
              </w:rPr>
              <w:t>на четыре года путем всеобщих выборов, причем каждые два года состав палаты обновляется наполовину</w:t>
            </w:r>
            <w:r w:rsidRPr="003E6540">
              <w:rPr>
                <w:rFonts w:ascii="Times New Roman" w:hAnsi="Times New Roman" w:cs="Times New Roman"/>
              </w:rPr>
              <w:t>.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3E6540">
              <w:rPr>
                <w:rFonts w:ascii="Times New Roman" w:hAnsi="Times New Roman" w:cs="Times New Roman"/>
              </w:rPr>
              <w:t xml:space="preserve">В проекте обозначены полномочия отдельно каждой палаты и полномочия, осуществляемые ими совместно. </w:t>
            </w:r>
            <w:proofErr w:type="gramStart"/>
            <w:r w:rsidRPr="003E6540">
              <w:rPr>
                <w:rFonts w:ascii="Times New Roman" w:hAnsi="Times New Roman" w:cs="Times New Roman"/>
              </w:rPr>
              <w:t xml:space="preserve">Из важнейших полномочий верхней палаты отметим: </w:t>
            </w:r>
            <w:r w:rsidRPr="003E6540">
              <w:rPr>
                <w:rFonts w:ascii="Times New Roman" w:hAnsi="Times New Roman" w:cs="Times New Roman"/>
                <w:b/>
              </w:rPr>
              <w:t>назначение федерального референдума</w:t>
            </w:r>
            <w:r w:rsidRPr="003E6540">
              <w:rPr>
                <w:rFonts w:ascii="Times New Roman" w:hAnsi="Times New Roman" w:cs="Times New Roman"/>
              </w:rPr>
              <w:t xml:space="preserve">; утверждение образования новых субъектов РФ, а также изменения их конституционно-правового статуса; вопросы войны и мира; дача заключения Президенту о кандидатурах на должность государственного секретаря и государственных министров, их отстранение от должности в установленном Конституцией порядке; </w:t>
            </w:r>
            <w:r w:rsidRPr="003E6540">
              <w:rPr>
                <w:rFonts w:ascii="Times New Roman" w:hAnsi="Times New Roman" w:cs="Times New Roman"/>
                <w:b/>
              </w:rPr>
              <w:t>дача согласия Президенту на назначение высшего командования Вооруженных Сил</w:t>
            </w:r>
            <w:r w:rsidRPr="003E6540">
              <w:rPr>
                <w:rFonts w:ascii="Times New Roman" w:hAnsi="Times New Roman" w:cs="Times New Roman"/>
              </w:rPr>
              <w:t>.</w:t>
            </w:r>
            <w:proofErr w:type="gramEnd"/>
            <w:r w:rsidRPr="003E6540">
              <w:rPr>
                <w:rFonts w:ascii="Times New Roman" w:hAnsi="Times New Roman" w:cs="Times New Roman"/>
              </w:rPr>
              <w:t xml:space="preserve"> Нижняя палата осуществляет законодательное регулирование по вопросам, отнесенным к федеральной компетенции; устанавливает федеральные налоги и сборы; утверждает производимые Президентом назначения Председателя Банка России, Председателя Федеральной статистической палаты; утверждает по представлению Президента назначение федеральных судей. Совместно палаты принимают федеральный бюджет; </w:t>
            </w:r>
            <w:r w:rsidRPr="003E6540">
              <w:rPr>
                <w:rFonts w:ascii="Times New Roman" w:hAnsi="Times New Roman" w:cs="Times New Roman"/>
                <w:b/>
              </w:rPr>
              <w:t>ратифицируют и денонсируют международные договоры РФ</w:t>
            </w:r>
            <w:r w:rsidRPr="003E6540">
              <w:rPr>
                <w:rFonts w:ascii="Times New Roman" w:hAnsi="Times New Roman" w:cs="Times New Roman"/>
              </w:rPr>
              <w:t xml:space="preserve">; вносят в Верховный Суд РФ представление о лишении мандата делегатов Федерального Собрания и депутатов Народного Собрания, об отстранении от должности Президента и вице-президента; избирают Парламентского уполномоченного по правам человека. </w:t>
            </w:r>
            <w:r w:rsidRPr="003E6540">
              <w:rPr>
                <w:rFonts w:ascii="Times New Roman" w:hAnsi="Times New Roman" w:cs="Times New Roman"/>
                <w:lang w:val="en-US"/>
              </w:rPr>
              <w:t>&lt;…&gt;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По проекту исполнительную власть в Российской Федерации возглавляет Президент. Он избирается путем всеобщих выборов на шесть лет, не более чем на два срока подряд, возраст—</w:t>
            </w:r>
            <w:r w:rsidRPr="003E6540">
              <w:rPr>
                <w:rFonts w:ascii="Times New Roman" w:hAnsi="Times New Roman" w:cs="Times New Roman"/>
                <w:b/>
              </w:rPr>
              <w:t>не моложе 35 и не старше 65 лет</w:t>
            </w:r>
            <w:r w:rsidRPr="003E6540">
              <w:rPr>
                <w:rFonts w:ascii="Times New Roman" w:hAnsi="Times New Roman" w:cs="Times New Roman"/>
              </w:rPr>
              <w:t xml:space="preserve">. Полномочия Президента: руководит деятельностью исполнительной власти, внешней политикой, обеспечением безопасности Российской Федерации, является Верховным Главнокомандующим и т. п. Проект не предусматривал федерального Правительства в качестве отделенной от Президента структуры во главе с председателем. 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(По С.А. </w:t>
            </w:r>
            <w:proofErr w:type="spellStart"/>
            <w:r w:rsidRPr="003E6540">
              <w:rPr>
                <w:rFonts w:ascii="Times New Roman" w:hAnsi="Times New Roman" w:cs="Times New Roman"/>
              </w:rPr>
              <w:t>Авакьяну</w:t>
            </w:r>
            <w:proofErr w:type="spellEnd"/>
            <w:r w:rsidRPr="003E6540">
              <w:rPr>
                <w:rFonts w:ascii="Times New Roman" w:hAnsi="Times New Roman" w:cs="Times New Roman"/>
              </w:rPr>
              <w:t>)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1. В первом абзаце указаны разделы Конституции, которые планировались при разработке проекта. Какие разделы есть в принятой Конституции 1993 г.? Назовите количество разделов и их наименования.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Во втором абзаце представлены палаты парламента, которые должны были быть образованы по данному проекту. Сколько палат парламента в РФ и как они именуются?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3. Укажите порядок формирования и срок полномочий членов верхней палаты парламента РФ, действующего по Конституции 1993 г.</w:t>
            </w:r>
          </w:p>
          <w:p w:rsidR="007B653E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</w:t>
            </w:r>
            <w:r w:rsidR="007B653E"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 w:rsidR="007B653E">
              <w:rPr>
                <w:rFonts w:ascii="Times New Roman" w:hAnsi="Times New Roman" w:cs="Times New Roman"/>
              </w:rPr>
              <w:t>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Default="007B653E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73670" w:rsidRDefault="00E7367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4. Сколько членов нижней палаты парламента РФ, действующего по Конституции 1993 г.?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5. Как формируется нижняя палата законодательного органа РФ, образованного в соответствии с Конституцией РФ: укажите вид избирательной системы и избирательные принципы. 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6. Кто по действующей Конституции назначает референдум?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7. Требуется ли Президенту по действующей Конституции РФ согласие на назначение высшего командования Вооруженных Сил РФ? Если да, то кто дает соответствующее согласие? 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8. В какой форме происходит ратификация и денонсация международных договоров?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9. Какой предельный возраст Президента РФ по Конституции 1993 г.?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653E" w:rsidRPr="003E6540" w:rsidTr="00945656">
        <w:tc>
          <w:tcPr>
            <w:tcW w:w="9923" w:type="dxa"/>
            <w:gridSpan w:val="4"/>
          </w:tcPr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IV. </w:t>
            </w:r>
            <w:r w:rsidRPr="003E6540">
              <w:rPr>
                <w:rFonts w:ascii="Times New Roman" w:hAnsi="Times New Roman" w:cs="Times New Roman"/>
                <w:b/>
              </w:rPr>
              <w:t>Решите логическую задачу:</w:t>
            </w:r>
            <w:r w:rsidR="00FA5B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E6540">
              <w:rPr>
                <w:rFonts w:cs="Times New Roman"/>
                <w:b/>
                <w:sz w:val="22"/>
                <w:szCs w:val="22"/>
              </w:rPr>
              <w:t xml:space="preserve">Генеральный директор дал от ворот поворот предложению протестовать в утверждении соглашения, в котором содержится отказ оспаривать запрет на приостановление действия нормы по увеличению продолжительности рабочего дня (смены) на 1 час. При этом он отработал 8 часов и ушёл домой. </w:t>
            </w: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</w:p>
          <w:p w:rsidR="007B653E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  <w:r w:rsidRPr="003E6540">
              <w:rPr>
                <w:rFonts w:cs="Times New Roman"/>
                <w:i/>
                <w:sz w:val="22"/>
                <w:szCs w:val="22"/>
              </w:rPr>
              <w:t>Соответствует ли поступок директора его высказыванию? Приведите решение.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7B653E" w:rsidRPr="003E6540" w:rsidTr="00404BE7">
        <w:tc>
          <w:tcPr>
            <w:tcW w:w="9923" w:type="dxa"/>
            <w:gridSpan w:val="4"/>
          </w:tcPr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V. </w:t>
            </w:r>
            <w:r w:rsidRPr="003E6540">
              <w:rPr>
                <w:rFonts w:ascii="Times New Roman" w:hAnsi="Times New Roman" w:cs="Times New Roman"/>
                <w:b/>
              </w:rPr>
              <w:t>Решите экономическую задачу: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Мария решила взять кредит на покупку автомобиля. Для приобретения понравившейся ей модели не хватало 400 000 рублей. Банк согласился предоставить ей кредит на указанную сумму на 4 года по 20% </w:t>
            </w:r>
            <w:proofErr w:type="gramStart"/>
            <w:r w:rsidRPr="003E6540">
              <w:rPr>
                <w:rFonts w:ascii="Times New Roman" w:hAnsi="Times New Roman" w:cs="Times New Roman"/>
              </w:rPr>
              <w:t>годовых</w:t>
            </w:r>
            <w:proofErr w:type="gramEnd"/>
            <w:r w:rsidRPr="003E6540">
              <w:rPr>
                <w:rFonts w:ascii="Times New Roman" w:hAnsi="Times New Roman" w:cs="Times New Roman"/>
              </w:rPr>
              <w:t xml:space="preserve"> с ежемесячными платежами по формуле простого процента. 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lastRenderedPageBreak/>
              <w:t>1. Какова будет общая сумма платежей банку? Приведите решение.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Какова будет сумма ежемесячного платежа? Приведите решение.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97B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7BCB" w:rsidRPr="003E6540" w:rsidTr="00C41641">
        <w:tc>
          <w:tcPr>
            <w:tcW w:w="9923" w:type="dxa"/>
            <w:gridSpan w:val="4"/>
          </w:tcPr>
          <w:p w:rsidR="00797BCB" w:rsidRPr="003E6540" w:rsidRDefault="00797BCB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VI. </w:t>
            </w:r>
            <w:r w:rsidRPr="003E6540">
              <w:rPr>
                <w:rFonts w:ascii="Times New Roman" w:hAnsi="Times New Roman" w:cs="Times New Roman"/>
                <w:b/>
              </w:rPr>
              <w:t>Ознакомьтесь с представленными материалами и выполните предложенные задания.</w:t>
            </w:r>
          </w:p>
          <w:tbl>
            <w:tblPr>
              <w:tblStyle w:val="a3"/>
              <w:tblpPr w:leftFromText="180" w:rightFromText="180" w:vertAnchor="page" w:horzAnchor="margin" w:tblpXSpec="center" w:tblpY="706"/>
              <w:tblOverlap w:val="never"/>
              <w:tblW w:w="7792" w:type="dxa"/>
              <w:tblLayout w:type="fixed"/>
              <w:tblLook w:val="04A0"/>
            </w:tblPr>
            <w:tblGrid>
              <w:gridCol w:w="4106"/>
              <w:gridCol w:w="3686"/>
            </w:tblGrid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А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Б</w:t>
                  </w:r>
                </w:p>
              </w:tc>
            </w:tr>
            <w:tr w:rsidR="00797BCB" w:rsidRPr="003E6540" w:rsidTr="00797BCB">
              <w:trPr>
                <w:trHeight w:val="2343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305050" cy="1297283"/>
                        <wp:effectExtent l="0" t="0" r="0" b="0"/>
                        <wp:docPr id="514936641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4936642" name="Рисунок 51493664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3283" cy="13131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181225" cy="1286582"/>
                        <wp:effectExtent l="0" t="0" r="0" b="8890"/>
                        <wp:docPr id="514936643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9477866" name="Рисунок 1059477866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9648" cy="12974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2584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В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Г</w:t>
                  </w:r>
                </w:p>
              </w:tc>
            </w:tr>
            <w:tr w:rsidR="00797BCB" w:rsidRPr="003E6540" w:rsidTr="00797BCB">
              <w:trPr>
                <w:trHeight w:val="353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428875" cy="1792481"/>
                        <wp:effectExtent l="0" t="0" r="0" b="0"/>
                        <wp:docPr id="514936644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95454963" name="Рисунок 1995454963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8072" cy="18066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315092" cy="1877965"/>
                        <wp:effectExtent l="19050" t="0" r="0" b="0"/>
                        <wp:docPr id="514936645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2260070" name="Рисунок 582260070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5917" cy="18934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Е</w:t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253448" cy="1565709"/>
                        <wp:effectExtent l="19050" t="0" r="3852" b="0"/>
                        <wp:docPr id="514936646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695400" name="Рисунок 72695400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5007" cy="1592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631756" cy="1615062"/>
                        <wp:effectExtent l="19050" t="0" r="6544" b="0"/>
                        <wp:docPr id="514936647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286713" name="Рисунок 104286713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1298" cy="16245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7BCB" w:rsidRPr="003E6540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lastRenderedPageBreak/>
              <w:t>1. Распределите изображения по 2 группам так, чтобы в каждой группе количество изображений было равным.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Запишите обоснование для каждой группы.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3. Дайте определение тем понятиям, которые послужили основанием для классификации.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30C4" w:rsidRPr="003E6540" w:rsidTr="0009713F">
        <w:tc>
          <w:tcPr>
            <w:tcW w:w="9923" w:type="dxa"/>
            <w:gridSpan w:val="4"/>
          </w:tcPr>
          <w:p w:rsidR="001330C4" w:rsidRDefault="001330C4" w:rsidP="00157F6F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VII. </w:t>
            </w:r>
            <w:r w:rsidRPr="003E6540">
              <w:rPr>
                <w:rFonts w:ascii="Times New Roman" w:hAnsi="Times New Roman" w:cs="Times New Roman"/>
                <w:b/>
              </w:rPr>
              <w:t>Изучите представленные материалы и выполните задания.</w:t>
            </w: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eastAsia="Times New Roman" w:hAnsi="Times New Roman" w:cs="Times New Roman"/>
                <w:lang w:eastAsia="ru-RU"/>
              </w:rPr>
              <w:t xml:space="preserve">Каждому человеку свойственно планировать свою жизнь на ближайшую и отдаленную перспективу. Планирование, в свою очередь, обусловлено целями, то есть желаемым результатом жизнедеятельности и средствами его достижения. Иначе говоря, человек выстраивает собственные жизненные стратегии. В молодежной </w:t>
            </w: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среде этот процесс имеет свои особенности, которые связаны с сущностными характеристиками молодежи как социальной группы. Особенности социального положения и сознания молодых людей — неустойчивость, переходность, лабильность — влияют на понимание ими смысла собственной жизни. Проявляются они в выборе целей жизнедеятельности, а также в оценке доступности средств и возможностей их реализации. В этой связи важно рассмотреть особенности жизненных стратегий молодежи в контексте </w:t>
            </w:r>
            <w:proofErr w:type="spell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саморегуляции</w:t>
            </w:r>
            <w:proofErr w:type="spell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 ее жизнедеятельности. 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Поскольку жизненные стратегии определяют направленность жизненных выборов, необходимо установить их место и роль в более общем механизме </w:t>
            </w:r>
            <w:proofErr w:type="spell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социокультурной</w:t>
            </w:r>
            <w:proofErr w:type="spell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саморегуляции</w:t>
            </w:r>
            <w:proofErr w:type="spell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. Для этого требуется проанализировать связи жизненных стратегий в образовании и в труде с представлениями молодых людей о смысле жизни, а также с различными культурными установками, содержащимися в разных культурах. Такой подход позволяет, с одной стороны, получить представление о целях жизнедеятельности молодежи и способах их реализации как составляющих жизненных стратегий. А с другой стороны, выявить их связь с ожиданиями молодых людей в сферах образования и труда. Важным аспектом исследования является анализ связи нереализованных ожиданий с социальными настроениями молодежи, при </w:t>
            </w:r>
            <w:proofErr w:type="gram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котором</w:t>
            </w:r>
            <w:proofErr w:type="gram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 раскрывается </w:t>
            </w:r>
            <w:proofErr w:type="spell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саморегуляция</w:t>
            </w:r>
            <w:proofErr w:type="spell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 самых разных настроений.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Источник: Зубок Ю. А., </w:t>
            </w:r>
            <w:proofErr w:type="spellStart"/>
            <w:r w:rsidRPr="003E6540">
              <w:rPr>
                <w:rFonts w:ascii="Times New Roman" w:hAnsi="Times New Roman" w:cs="Times New Roman"/>
                <w:shd w:val="clear" w:color="auto" w:fill="FFFFFF"/>
              </w:rPr>
              <w:t>Чупров</w:t>
            </w:r>
            <w:proofErr w:type="spellEnd"/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 В. И. Жизненные стратегии молодежи: реализация ожиданий и социальные настроения // Мониторинг общественного мнения: экономические и социальные перемены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Ниже представлены результаты опросов, используемых в исследовании, и их описание.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i/>
                <w:shd w:val="clear" w:color="auto" w:fill="FFFFFF"/>
              </w:rPr>
              <w:t>В статье анализируются результаты исследования, проведенного Центром социологии молодежи ИСПИ РАН в 2017 г. в семи субъектах РФ, в 28 населенных пунктах. Выборка молодежи в возрасте 15—29 лет составила 803 человека. Опрос проводился методом личного интервью по месту жительства респондентов. Для сравнения использовались результаты исследования, проведенного Центром социологии молодежи ИСПИ РАН в 2014 г. в 13 субъектах РФ, в 65 населенных пунктах, путем опроса населения России старше 15 лет. Всего опрошено 1459 человек. Выборка молодежи в возрасте 15—29 лет составила 400 человек. Опрос проводился методом личного интервью по месту жительства респондентов.</w:t>
            </w: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lastRenderedPageBreak/>
              <w:t>Таблица 1. Цели жизненных стратегий, связанные с пониманием смысла жизни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078637" cy="1859623"/>
                  <wp:effectExtent l="19050" t="0" r="7713" b="0"/>
                  <wp:docPr id="5149366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/>
                          <a:srcRect t="8066"/>
                          <a:stretch/>
                        </pic:blipFill>
                        <pic:spPr bwMode="auto">
                          <a:xfrm>
                            <a:off x="0" y="0"/>
                            <a:ext cx="5096883" cy="18663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Таблица 2. Изменение смыслов образования среди молодежи, 2014 и 2017 гг., </w:t>
            </w:r>
            <w:proofErr w:type="gramStart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в</w:t>
            </w:r>
            <w:proofErr w:type="gramEnd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%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964362" cy="1602768"/>
                  <wp:effectExtent l="19050" t="0" r="0" b="0"/>
                  <wp:docPr id="51493664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/>
                          <a:srcRect t="11854"/>
                          <a:stretch/>
                        </pic:blipFill>
                        <pic:spPr bwMode="auto">
                          <a:xfrm>
                            <a:off x="0" y="0"/>
                            <a:ext cx="5981126" cy="1607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Таблица 3. Изменение смыслов труда среди молодежи, 2014 и 2017 гг., </w:t>
            </w:r>
            <w:proofErr w:type="gramStart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в</w:t>
            </w:r>
            <w:proofErr w:type="gramEnd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%</w:t>
            </w: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388636" cy="1705510"/>
                  <wp:effectExtent l="19050" t="0" r="2514" b="0"/>
                  <wp:docPr id="51493665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/>
                          <a:srcRect t="10924"/>
                          <a:stretch/>
                        </pic:blipFill>
                        <pic:spPr bwMode="auto">
                          <a:xfrm>
                            <a:off x="0" y="0"/>
                            <a:ext cx="5425029" cy="17170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Таблица 4. Жизненные установки молодежи в различных возрастных группах, </w:t>
            </w:r>
            <w:proofErr w:type="gramStart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в</w:t>
            </w:r>
            <w:proofErr w:type="gramEnd"/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 xml:space="preserve"> %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958283" cy="2157573"/>
                  <wp:effectExtent l="19050" t="0" r="0" b="0"/>
                  <wp:docPr id="51493665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/>
                          <a:srcRect t="9215"/>
                          <a:stretch/>
                        </pic:blipFill>
                        <pic:spPr bwMode="auto">
                          <a:xfrm>
                            <a:off x="0" y="0"/>
                            <a:ext cx="4972540" cy="2163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lastRenderedPageBreak/>
              <w:t xml:space="preserve">Проанализируйте приведённые статистические материалы и ответьте на вопросы. </w:t>
            </w: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1. С чем связаны особенности выбора жизненных стратегий среди молодёжи? Ответ дайте на основе представленной информации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2. Была ли возможность у респондентов выбирать несколько вариантов при ответе на вопросы? </w:t>
            </w:r>
            <w:r w:rsidRPr="003E6540">
              <w:rPr>
                <w:rFonts w:ascii="Times New Roman" w:hAnsi="Times New Roman" w:cs="Times New Roman"/>
              </w:rPr>
              <w:t>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3. В чем смысл жизни для молодежи? </w:t>
            </w:r>
            <w:r w:rsidRPr="003E6540">
              <w:rPr>
                <w:rFonts w:ascii="Times New Roman" w:hAnsi="Times New Roman" w:cs="Times New Roman"/>
              </w:rPr>
              <w:t>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4. Меняется ли цели получения образования и трудоустройства с течением времени? 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7F6F" w:rsidRPr="003E6540" w:rsidTr="003E6540">
        <w:tc>
          <w:tcPr>
            <w:tcW w:w="9923" w:type="dxa"/>
            <w:gridSpan w:val="4"/>
          </w:tcPr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 xml:space="preserve">VIII. </w:t>
            </w:r>
            <w:r w:rsidRPr="003E6540">
              <w:rPr>
                <w:rFonts w:ascii="Times New Roman" w:hAnsi="Times New Roman" w:cs="Times New Roman"/>
                <w:b/>
              </w:rPr>
              <w:t>Решите кроссворд:</w:t>
            </w: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E6540">
              <w:rPr>
                <w:rFonts w:ascii="Times New Roman" w:hAnsi="Times New Roman" w:cs="Times New Roman"/>
                <w:b/>
              </w:rPr>
              <w:t>(По 1 баллу за каждое правильное слово)</w:t>
            </w:r>
          </w:p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</w:tblGrid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1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8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10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6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4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7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5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9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</w:tbl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9532" w:type="dxa"/>
              <w:tblLayout w:type="fixed"/>
              <w:tblLook w:val="0400"/>
            </w:tblPr>
            <w:tblGrid>
              <w:gridCol w:w="4712"/>
              <w:gridCol w:w="4820"/>
            </w:tblGrid>
            <w:tr w:rsidR="00042AFF" w:rsidRPr="003E6540" w:rsidTr="00042AFF">
              <w:tc>
                <w:tcPr>
                  <w:tcW w:w="4712" w:type="dxa"/>
                </w:tcPr>
                <w:p w:rsidR="00042AFF" w:rsidRPr="00042AFF" w:rsidRDefault="00042AFF" w:rsidP="00E96B07">
                  <w:pPr>
                    <w:pStyle w:val="a4"/>
                    <w:jc w:val="both"/>
                    <w:rPr>
                      <w:rFonts w:cs="Times New Roman"/>
                      <w:b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По горизонтали:</w:t>
                  </w:r>
                </w:p>
              </w:tc>
              <w:tc>
                <w:tcPr>
                  <w:tcW w:w="4820" w:type="dxa"/>
                </w:tcPr>
                <w:p w:rsidR="00042AFF" w:rsidRPr="00042AFF" w:rsidRDefault="00042AFF" w:rsidP="00E96B07">
                  <w:pPr>
                    <w:pStyle w:val="a4"/>
                    <w:jc w:val="both"/>
                    <w:rPr>
                      <w:rFonts w:cs="Times New Roman"/>
                      <w:b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По вертикали:</w:t>
                  </w:r>
                </w:p>
              </w:tc>
            </w:tr>
            <w:tr w:rsidR="00042AFF" w:rsidRPr="003E6540" w:rsidTr="00042AFF">
              <w:tc>
                <w:tcPr>
                  <w:tcW w:w="4712" w:type="dxa"/>
                </w:tcPr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2.</w:t>
                  </w:r>
                  <w:r w:rsidRPr="00042AFF">
                    <w:rPr>
                      <w:rFonts w:cs="Times New Roman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У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стойчивая правовая связь между гражданином и государством, выражающаяся во взаимных прав и обязанностях.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 xml:space="preserve">4.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итуация рынка, когда на продавцов или покупателей приходится такая большая доля общего объема продаж или покупок на конкретном товарном рынке, что он может влиять на формирование цен и условий сделок в большей мере, чем остальные участники этого рынка.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5.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О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бособившаяся от природы, но тесно связанная с ней, часть материального мира, включающая в себя способы взаимодействия и формы объединения людей.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6.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П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оступательное движение к определенной цели.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9.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нижение стоимости денег, выражающееся в росте цен на все товары и услугу.</w:t>
                  </w:r>
                </w:p>
              </w:tc>
              <w:tc>
                <w:tcPr>
                  <w:tcW w:w="4820" w:type="dxa"/>
                </w:tcPr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1.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пособ рационального устройства умственного труда, правление чиновников.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3.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остояние политической структуры, когда она представляет собой «лоскутное одеяло», раздираемое внутренними противоречиями</w:t>
                  </w:r>
                  <w:proofErr w:type="gramStart"/>
                  <w:r w:rsidRPr="00157F6F">
                    <w:rPr>
                      <w:rFonts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57F6F">
                    <w:rPr>
                      <w:rFonts w:cs="Times New Roman"/>
                      <w:sz w:val="24"/>
                      <w:szCs w:val="24"/>
                    </w:rPr>
                    <w:t>и</w:t>
                  </w:r>
                  <w:proofErr w:type="gramEnd"/>
                  <w:r w:rsidRPr="00157F6F">
                    <w:rPr>
                      <w:rFonts w:cs="Times New Roman"/>
                      <w:sz w:val="24"/>
                      <w:szCs w:val="24"/>
                    </w:rPr>
                    <w:t>меется в виду политический опыт Балкан)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7.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Р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аздел в философии, изучающий сущность бытия, его принципы, категории и структуру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8.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В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нешние эффекты, ущерб от производства блага, который приходится нести людям или фирмам, непосредственно не участвующим в купле-продаже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10.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Н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аправление в психологии, постулирующее, что социологические теории должны строиться исключительно на изучении поведения, поддающегося наблюдению и дающего количественно измеримые данные.</w:t>
                  </w:r>
                </w:p>
              </w:tc>
            </w:tr>
          </w:tbl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7F6F" w:rsidRPr="00157F6F" w:rsidRDefault="00157F6F" w:rsidP="00042A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7F6F" w:rsidRPr="00157F6F" w:rsidSect="00A20C40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09C" w:rsidRDefault="00F8609C" w:rsidP="00157F6F">
      <w:pPr>
        <w:spacing w:after="0" w:line="240" w:lineRule="auto"/>
      </w:pPr>
      <w:r>
        <w:separator/>
      </w:r>
    </w:p>
  </w:endnote>
  <w:endnote w:type="continuationSeparator" w:id="0">
    <w:p w:rsidR="00F8609C" w:rsidRDefault="00F8609C" w:rsidP="0015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1193324"/>
      <w:docPartObj>
        <w:docPartGallery w:val="Page Numbers (Bottom of Page)"/>
        <w:docPartUnique/>
      </w:docPartObj>
    </w:sdtPr>
    <w:sdtContent>
      <w:p w:rsidR="00157F6F" w:rsidRDefault="00B04613">
        <w:pPr>
          <w:pStyle w:val="a9"/>
          <w:jc w:val="right"/>
        </w:pPr>
        <w:r>
          <w:fldChar w:fldCharType="begin"/>
        </w:r>
        <w:r w:rsidR="00157F6F">
          <w:instrText>PAGE   \* MERGEFORMAT</w:instrText>
        </w:r>
        <w:r>
          <w:fldChar w:fldCharType="separate"/>
        </w:r>
        <w:r w:rsidR="00EF1A62">
          <w:rPr>
            <w:noProof/>
          </w:rPr>
          <w:t>1</w:t>
        </w:r>
        <w:r>
          <w:fldChar w:fldCharType="end"/>
        </w:r>
      </w:p>
    </w:sdtContent>
  </w:sdt>
  <w:p w:rsidR="00157F6F" w:rsidRDefault="00157F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09C" w:rsidRDefault="00F8609C" w:rsidP="00157F6F">
      <w:pPr>
        <w:spacing w:after="0" w:line="240" w:lineRule="auto"/>
      </w:pPr>
      <w:r>
        <w:separator/>
      </w:r>
    </w:p>
  </w:footnote>
  <w:footnote w:type="continuationSeparator" w:id="0">
    <w:p w:rsidR="00F8609C" w:rsidRDefault="00F8609C" w:rsidP="0015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219EC"/>
    <w:multiLevelType w:val="hybridMultilevel"/>
    <w:tmpl w:val="6F6029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358"/>
    <w:rsid w:val="00042AFF"/>
    <w:rsid w:val="000A66A5"/>
    <w:rsid w:val="001330C4"/>
    <w:rsid w:val="0014514F"/>
    <w:rsid w:val="00157F6F"/>
    <w:rsid w:val="00195BC0"/>
    <w:rsid w:val="003C2DF0"/>
    <w:rsid w:val="003E6540"/>
    <w:rsid w:val="00475847"/>
    <w:rsid w:val="00797BCB"/>
    <w:rsid w:val="007B653E"/>
    <w:rsid w:val="007E0D98"/>
    <w:rsid w:val="0085021C"/>
    <w:rsid w:val="00A20C40"/>
    <w:rsid w:val="00A24126"/>
    <w:rsid w:val="00A66A55"/>
    <w:rsid w:val="00B04613"/>
    <w:rsid w:val="00C01E25"/>
    <w:rsid w:val="00C562E6"/>
    <w:rsid w:val="00C72D1A"/>
    <w:rsid w:val="00D00CA2"/>
    <w:rsid w:val="00D46358"/>
    <w:rsid w:val="00E34A73"/>
    <w:rsid w:val="00E47A0B"/>
    <w:rsid w:val="00E73670"/>
    <w:rsid w:val="00ED009C"/>
    <w:rsid w:val="00EF1A62"/>
    <w:rsid w:val="00F22079"/>
    <w:rsid w:val="00F8609C"/>
    <w:rsid w:val="00FA5BD5"/>
    <w:rsid w:val="00FF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D00C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5">
    <w:name w:val="Основной текст Знак"/>
    <w:basedOn w:val="a0"/>
    <w:link w:val="a4"/>
    <w:rsid w:val="00D00CA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styleId="a6">
    <w:name w:val="List Paragraph"/>
    <w:basedOn w:val="a"/>
    <w:qFormat/>
    <w:rsid w:val="007E0D98"/>
    <w:pPr>
      <w:ind w:left="720"/>
      <w:contextualSpacing/>
    </w:pPr>
    <w:rPr>
      <w:kern w:val="2"/>
    </w:rPr>
  </w:style>
  <w:style w:type="paragraph" w:styleId="a7">
    <w:name w:val="header"/>
    <w:basedOn w:val="a"/>
    <w:link w:val="a8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7F6F"/>
  </w:style>
  <w:style w:type="paragraph" w:styleId="a9">
    <w:name w:val="footer"/>
    <w:basedOn w:val="a"/>
    <w:link w:val="aa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7F6F"/>
  </w:style>
  <w:style w:type="table" w:customStyle="1" w:styleId="6">
    <w:name w:val="Сетка таблицы6"/>
    <w:basedOn w:val="a1"/>
    <w:uiPriority w:val="59"/>
    <w:rsid w:val="0014514F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E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65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2023-12-02T18:58:00Z</dcterms:created>
  <dcterms:modified xsi:type="dcterms:W3CDTF">2023-12-03T16:41:00Z</dcterms:modified>
</cp:coreProperties>
</file>